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56EB8" w14:textId="5A066364" w:rsidR="00A44F4F" w:rsidRDefault="00A44F4F" w:rsidP="00A44F4F">
      <w:pPr>
        <w:spacing w:before="120" w:after="120" w:line="360" w:lineRule="auto"/>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mc:AlternateContent>
          <mc:Choice Requires="wps">
            <w:drawing>
              <wp:anchor distT="0" distB="0" distL="114300" distR="114300" simplePos="0" relativeHeight="251659264" behindDoc="0" locked="0" layoutInCell="1" allowOverlap="1" wp14:anchorId="421FE7EB" wp14:editId="06D59937">
                <wp:simplePos x="0" y="0"/>
                <wp:positionH relativeFrom="column">
                  <wp:posOffset>4770120</wp:posOffset>
                </wp:positionH>
                <wp:positionV relativeFrom="paragraph">
                  <wp:posOffset>-533400</wp:posOffset>
                </wp:positionV>
                <wp:extent cx="1188720" cy="1356360"/>
                <wp:effectExtent l="0" t="0" r="11430" b="15240"/>
                <wp:wrapNone/>
                <wp:docPr id="516197875" name="Text Box 1"/>
                <wp:cNvGraphicFramePr/>
                <a:graphic xmlns:a="http://schemas.openxmlformats.org/drawingml/2006/main">
                  <a:graphicData uri="http://schemas.microsoft.com/office/word/2010/wordprocessingShape">
                    <wps:wsp>
                      <wps:cNvSpPr txBox="1"/>
                      <wps:spPr>
                        <a:xfrm>
                          <a:off x="0" y="0"/>
                          <a:ext cx="1188720" cy="1356360"/>
                        </a:xfrm>
                        <a:prstGeom prst="rect">
                          <a:avLst/>
                        </a:prstGeom>
                        <a:solidFill>
                          <a:schemeClr val="lt1"/>
                        </a:solidFill>
                        <a:ln w="6350">
                          <a:solidFill>
                            <a:schemeClr val="bg1"/>
                          </a:solidFill>
                        </a:ln>
                      </wps:spPr>
                      <wps:txbx>
                        <w:txbxContent>
                          <w:p w14:paraId="6903729C" w14:textId="47BF7948" w:rsidR="00A44F4F" w:rsidRDefault="00A44F4F">
                            <w:r w:rsidRPr="00AE14FD">
                              <w:rPr>
                                <w:noProof/>
                              </w:rPr>
                              <w:drawing>
                                <wp:inline distT="0" distB="0" distL="0" distR="0" wp14:anchorId="179C8F2F" wp14:editId="42075B59">
                                  <wp:extent cx="999490" cy="100313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9490" cy="10031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1FE7EB" id="_x0000_t202" coordsize="21600,21600" o:spt="202" path="m,l,21600r21600,l21600,xe">
                <v:stroke joinstyle="miter"/>
                <v:path gradientshapeok="t" o:connecttype="rect"/>
              </v:shapetype>
              <v:shape id="Text Box 1" o:spid="_x0000_s1026" type="#_x0000_t202" style="position:absolute;margin-left:375.6pt;margin-top:-42pt;width:93.6pt;height:10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5a5NAIAAH0EAAAOAAAAZHJzL2Uyb0RvYy54bWysVE1v2zAMvQ/YfxB0Xxzna6kRp8hSZBgQ&#10;tAXSoWdFlmIDsqhJSuzs149SnI92PQ27yJRIPZGPj57dt7UiB2FdBTqnaa9PidAcikrvcvrzZfVl&#10;SonzTBdMgRY5PQpH7+efP80ak4kBlKAKYQmCaJc1Jqel9yZLEsdLUTPXAyM0OiXYmnnc2l1SWNYg&#10;eq2SQb8/SRqwhbHAhXN4+nBy0nnEl1Jw/ySlE56onGJuPq42rtuwJvMZy3aWmbLiXRrsH7KoWaXx&#10;0QvUA/OM7G31F1RdcQsOpO9xqBOQsuIi1oDVpP131WxKZkSsBclx5kKT+3+w/PGwMc+W+PYbtNjA&#10;QEhjXObwMNTTSluHL2ZK0I8UHi+0idYTHi6l0+nXAbo4+tLheDKcRGKT63Vjnf8uoCbByKnFvkS6&#10;2GHtPD6JoeeQ8JoDVRWrSqm4CVoQS2XJgWEXlY9J4o03UUqTJqeT4bgfgd/4opquCNvdBwiIpzQm&#10;ci0+WL7dth0jWyiOSJSFk4ac4asKi1kz55+ZRdEgATgI/gkXqQCTgc6ipAT7+6PzEI+9RC8lDYow&#10;p+7XnllBifqhsct36WgUVBs3o3Ek2d56trceva+XgAylOHKGRxMvW6/OprRQv+K8LMKr6GKa49s5&#10;9Wdz6U+jgfPGxWIRg1Cnhvm13hgeoENHQqte2ldmTddPj1J4hLNcWfaurafYcFPDYu9BVrHngeAT&#10;qx3vqPEohW4ewxDd7mPU9a8x/wMAAP//AwBQSwMEFAAGAAgAAAAhAEXs4wTgAAAACwEAAA8AAABk&#10;cnMvZG93bnJldi54bWxMj0FLw0AQhe+C/2EZwVu7aRprGrMpQRHBCmL14m2ajEkwOxuy2zb9944n&#10;PQ7z8d738s1ke3Wk0XeODSzmESjiytUdNwY+3h9nKSgfkGvsHZOBM3nYFJcXOWa1O/EbHXehURLC&#10;PkMDbQhDprWvWrLo524glt+XGy0GOcdG1yOeJNz2Oo6ilbbYsTS0ONB9S9X37mANPCef+LAMWzoH&#10;nl7L8ikdEv9izPXVVN6BCjSFPxh+9UUdCnHauwPXXvUGbm8WsaAGZmkio4RYL9ME1F7QeL0CXeT6&#10;/4biBwAA//8DAFBLAQItABQABgAIAAAAIQC2gziS/gAAAOEBAAATAAAAAAAAAAAAAAAAAAAAAABb&#10;Q29udGVudF9UeXBlc10ueG1sUEsBAi0AFAAGAAgAAAAhADj9If/WAAAAlAEAAAsAAAAAAAAAAAAA&#10;AAAALwEAAF9yZWxzLy5yZWxzUEsBAi0AFAAGAAgAAAAhALMDlrk0AgAAfQQAAA4AAAAAAAAAAAAA&#10;AAAALgIAAGRycy9lMm9Eb2MueG1sUEsBAi0AFAAGAAgAAAAhAEXs4wTgAAAACwEAAA8AAAAAAAAA&#10;AAAAAAAAjgQAAGRycy9kb3ducmV2LnhtbFBLBQYAAAAABAAEAPMAAACbBQAAAAA=&#10;" fillcolor="white [3201]" strokecolor="white [3212]" strokeweight=".5pt">
                <v:textbox>
                  <w:txbxContent>
                    <w:p w14:paraId="6903729C" w14:textId="47BF7948" w:rsidR="00A44F4F" w:rsidRDefault="00A44F4F">
                      <w:r w:rsidRPr="00AE14FD">
                        <w:rPr>
                          <w:noProof/>
                        </w:rPr>
                        <w:drawing>
                          <wp:inline distT="0" distB="0" distL="0" distR="0" wp14:anchorId="179C8F2F" wp14:editId="42075B59">
                            <wp:extent cx="999490" cy="100313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9490" cy="1003138"/>
                                    </a:xfrm>
                                    <a:prstGeom prst="rect">
                                      <a:avLst/>
                                    </a:prstGeom>
                                    <a:noFill/>
                                    <a:ln>
                                      <a:noFill/>
                                    </a:ln>
                                  </pic:spPr>
                                </pic:pic>
                              </a:graphicData>
                            </a:graphic>
                          </wp:inline>
                        </w:drawing>
                      </w:r>
                    </w:p>
                  </w:txbxContent>
                </v:textbox>
              </v:shape>
            </w:pict>
          </mc:Fallback>
        </mc:AlternateContent>
      </w:r>
    </w:p>
    <w:p w14:paraId="74ACDC61" w14:textId="77777777" w:rsidR="00A44F4F" w:rsidRDefault="00A44F4F" w:rsidP="00A44F4F">
      <w:pPr>
        <w:spacing w:before="120" w:after="120" w:line="360" w:lineRule="auto"/>
        <w:rPr>
          <w:rFonts w:ascii="Arial" w:hAnsi="Arial" w:cs="Arial"/>
          <w:b/>
          <w:bCs/>
          <w:color w:val="000000" w:themeColor="text1"/>
          <w:sz w:val="28"/>
          <w:szCs w:val="28"/>
        </w:rPr>
      </w:pPr>
    </w:p>
    <w:p w14:paraId="779CFFD6" w14:textId="6C758CF1" w:rsidR="00A44F4F" w:rsidRPr="007B62DD" w:rsidRDefault="00A44F4F" w:rsidP="00A44F4F">
      <w:pPr>
        <w:spacing w:before="120" w:after="120" w:line="360" w:lineRule="auto"/>
        <w:rPr>
          <w:rFonts w:ascii="Arial" w:hAnsi="Arial" w:cs="Arial"/>
          <w:b/>
          <w:bCs/>
          <w:color w:val="000000" w:themeColor="text1"/>
          <w:sz w:val="28"/>
          <w:szCs w:val="28"/>
        </w:rPr>
      </w:pPr>
      <w:r w:rsidRPr="007B62DD">
        <w:rPr>
          <w:rFonts w:ascii="Arial" w:hAnsi="Arial" w:cs="Arial"/>
          <w:b/>
          <w:bCs/>
          <w:color w:val="000000" w:themeColor="text1"/>
          <w:sz w:val="28"/>
          <w:szCs w:val="28"/>
        </w:rPr>
        <w:t>03</w:t>
      </w:r>
      <w:r w:rsidRPr="007B62DD">
        <w:rPr>
          <w:rFonts w:ascii="Arial" w:hAnsi="Arial" w:cs="Arial"/>
          <w:b/>
          <w:bCs/>
          <w:color w:val="000000" w:themeColor="text1"/>
          <w:sz w:val="28"/>
          <w:szCs w:val="28"/>
        </w:rPr>
        <w:tab/>
        <w:t>Food safety and nutrition policy</w:t>
      </w:r>
    </w:p>
    <w:p w14:paraId="5D0FBC70" w14:textId="39F4E333" w:rsidR="00A44F4F" w:rsidRPr="007B62DD" w:rsidRDefault="00A44F4F" w:rsidP="00A44F4F">
      <w:pPr>
        <w:pStyle w:val="Heading1"/>
        <w:spacing w:before="120" w:after="120" w:line="360" w:lineRule="auto"/>
        <w:rPr>
          <w:b/>
          <w:bCs/>
          <w:color w:val="000000" w:themeColor="text1"/>
          <w:sz w:val="22"/>
          <w:szCs w:val="22"/>
        </w:rPr>
      </w:pPr>
      <w:r w:rsidRPr="14923B40">
        <w:rPr>
          <w:color w:val="000000" w:themeColor="text1"/>
          <w:sz w:val="22"/>
          <w:szCs w:val="22"/>
        </w:rPr>
        <w:t xml:space="preserve">Alongside associated procedures in 03.1-03.6 Food safety and nutrition, this policy was adopted by </w:t>
      </w:r>
      <w:r>
        <w:rPr>
          <w:i/>
          <w:iCs/>
          <w:color w:val="000000" w:themeColor="text1"/>
          <w:sz w:val="22"/>
          <w:szCs w:val="22"/>
        </w:rPr>
        <w:t>Sunflowers Preschool on 1</w:t>
      </w:r>
      <w:r w:rsidRPr="00A44F4F">
        <w:rPr>
          <w:i/>
          <w:iCs/>
          <w:color w:val="000000" w:themeColor="text1"/>
          <w:sz w:val="22"/>
          <w:szCs w:val="22"/>
          <w:vertAlign w:val="superscript"/>
        </w:rPr>
        <w:t>st</w:t>
      </w:r>
      <w:r>
        <w:rPr>
          <w:i/>
          <w:iCs/>
          <w:color w:val="000000" w:themeColor="text1"/>
          <w:sz w:val="22"/>
          <w:szCs w:val="22"/>
        </w:rPr>
        <w:t xml:space="preserve"> September 2026.</w:t>
      </w:r>
    </w:p>
    <w:p w14:paraId="3FBCECBB" w14:textId="77777777" w:rsidR="00A44F4F" w:rsidRPr="007B62DD" w:rsidRDefault="00A44F4F" w:rsidP="00A44F4F">
      <w:pPr>
        <w:pStyle w:val="Heading1"/>
        <w:spacing w:before="120" w:after="120" w:line="360" w:lineRule="auto"/>
        <w:rPr>
          <w:color w:val="000000" w:themeColor="text1"/>
          <w:sz w:val="24"/>
        </w:rPr>
      </w:pPr>
      <w:r w:rsidRPr="007B62DD">
        <w:rPr>
          <w:color w:val="000000" w:themeColor="text1"/>
          <w:sz w:val="24"/>
        </w:rPr>
        <w:t>Aim</w:t>
      </w:r>
    </w:p>
    <w:p w14:paraId="4DD285D1" w14:textId="71200534" w:rsidR="00A44F4F" w:rsidRPr="007B62DD" w:rsidRDefault="00A44F4F" w:rsidP="00A44F4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Sunflowers Preschool</w:t>
      </w:r>
      <w:r w:rsidRPr="007B62DD">
        <w:rPr>
          <w:rFonts w:ascii="Arial" w:hAnsi="Arial" w:cs="Arial"/>
          <w:color w:val="000000" w:themeColor="text1"/>
          <w:sz w:val="22"/>
          <w:szCs w:val="22"/>
        </w:rPr>
        <w:t xml:space="preserve"> is a suitable, clean, and safe place for children to be cared for, where they can grow and learn. We meet all statutory requirements for food safety and fulfil the criteria for meeting the relevant Early Years Foundation Stage Safeguarding and Welfare requirements.</w:t>
      </w:r>
    </w:p>
    <w:p w14:paraId="2064927F" w14:textId="77777777" w:rsidR="00A44F4F" w:rsidRPr="007B62DD" w:rsidRDefault="00A44F4F" w:rsidP="00A44F4F">
      <w:pPr>
        <w:pStyle w:val="Heading6"/>
        <w:spacing w:before="120" w:after="120" w:line="360" w:lineRule="auto"/>
        <w:rPr>
          <w:rFonts w:ascii="Arial" w:hAnsi="Arial" w:cs="Arial"/>
          <w:b/>
          <w:i w:val="0"/>
          <w:color w:val="000000" w:themeColor="text1"/>
        </w:rPr>
      </w:pPr>
      <w:r w:rsidRPr="007B62DD">
        <w:rPr>
          <w:rFonts w:ascii="Arial" w:hAnsi="Arial" w:cs="Arial"/>
          <w:b/>
          <w:i w:val="0"/>
          <w:color w:val="000000" w:themeColor="text1"/>
        </w:rPr>
        <w:t xml:space="preserve">Objectives </w:t>
      </w:r>
    </w:p>
    <w:p w14:paraId="4D54D75F" w14:textId="13E8DB50" w:rsidR="00A44F4F" w:rsidRPr="007B62DD" w:rsidRDefault="00A44F4F" w:rsidP="00A44F4F">
      <w:pPr>
        <w:numPr>
          <w:ilvl w:val="0"/>
          <w:numId w:val="1"/>
        </w:numPr>
        <w:spacing w:before="120" w:after="120" w:line="360" w:lineRule="auto"/>
        <w:rPr>
          <w:rFonts w:ascii="Arial" w:hAnsi="Arial" w:cs="Arial"/>
          <w:color w:val="000000" w:themeColor="text1"/>
          <w:sz w:val="22"/>
          <w:szCs w:val="22"/>
        </w:rPr>
      </w:pPr>
      <w:r w:rsidRPr="0D4BA17E">
        <w:rPr>
          <w:rFonts w:ascii="Arial" w:hAnsi="Arial" w:cs="Arial"/>
          <w:color w:val="000000" w:themeColor="text1"/>
          <w:sz w:val="22"/>
          <w:szCs w:val="22"/>
        </w:rPr>
        <w:t xml:space="preserve">We recognise that we have a corporate responsibility and duty of care for those who work in and receive a service from </w:t>
      </w:r>
      <w:r>
        <w:rPr>
          <w:rFonts w:ascii="Arial" w:hAnsi="Arial" w:cs="Arial"/>
          <w:color w:val="000000" w:themeColor="text1"/>
          <w:sz w:val="22"/>
          <w:szCs w:val="22"/>
        </w:rPr>
        <w:t>Sunflowers Preschool</w:t>
      </w:r>
      <w:r w:rsidRPr="0D4BA17E">
        <w:rPr>
          <w:rFonts w:ascii="Arial" w:hAnsi="Arial" w:cs="Arial"/>
          <w:color w:val="000000" w:themeColor="text1"/>
          <w:sz w:val="22"/>
          <w:szCs w:val="22"/>
        </w:rPr>
        <w:t>, however, individual employees and service users also have responsibility for ensuring their own safety as well as that of others. Risk assessment is the key means through which this is achieved.</w:t>
      </w:r>
    </w:p>
    <w:p w14:paraId="4AD72B0E" w14:textId="77777777" w:rsidR="00A44F4F" w:rsidRPr="007B62DD" w:rsidRDefault="00A44F4F" w:rsidP="00A44F4F">
      <w:pPr>
        <w:numPr>
          <w:ilvl w:val="0"/>
          <w:numId w:val="1"/>
        </w:numPr>
        <w:spacing w:before="120" w:after="120" w:line="360" w:lineRule="auto"/>
        <w:rPr>
          <w:rFonts w:ascii="Arial" w:hAnsi="Arial" w:cs="Arial"/>
          <w:color w:val="000000" w:themeColor="text1"/>
          <w:sz w:val="22"/>
          <w:szCs w:val="22"/>
        </w:rPr>
      </w:pPr>
      <w:r w:rsidRPr="0D4BA17E">
        <w:rPr>
          <w:rFonts w:ascii="Arial" w:hAnsi="Arial" w:cs="Arial"/>
          <w:color w:val="000000" w:themeColor="text1"/>
          <w:sz w:val="22"/>
          <w:szCs w:val="22"/>
        </w:rPr>
        <w:t>Procedure 1.03 Kitchen is followed for general hygiene and safety in food preparation areas.</w:t>
      </w:r>
    </w:p>
    <w:p w14:paraId="3B9BA63B" w14:textId="77777777" w:rsidR="00A44F4F" w:rsidRPr="007B62DD" w:rsidRDefault="00A44F4F" w:rsidP="00A44F4F">
      <w:pPr>
        <w:numPr>
          <w:ilvl w:val="0"/>
          <w:numId w:val="2"/>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 xml:space="preserve">We provide nutritionally sound meals and snacks which promote health and reduce the risk of obesity and heart disease that may begin in childhood. </w:t>
      </w:r>
    </w:p>
    <w:p w14:paraId="5D44FFB9" w14:textId="77777777" w:rsidR="00A44F4F" w:rsidRPr="007B62DD" w:rsidRDefault="00A44F4F" w:rsidP="00A44F4F">
      <w:pPr>
        <w:numPr>
          <w:ilvl w:val="0"/>
          <w:numId w:val="2"/>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We ensure that children are supervised at mealtimes and that children are within sight and hearing of a member of staff at all times and where possible staff are sat facing children when eating to ensure they are eating in a way that prevents choking and so they can prevent food sharing and be aware of any unexpected allergic reactions.</w:t>
      </w:r>
    </w:p>
    <w:p w14:paraId="3B133154" w14:textId="77777777" w:rsidR="00A44F4F" w:rsidRPr="007B62DD" w:rsidRDefault="00A44F4F" w:rsidP="00A44F4F">
      <w:pPr>
        <w:numPr>
          <w:ilvl w:val="0"/>
          <w:numId w:val="2"/>
        </w:numPr>
        <w:spacing w:before="120" w:after="120" w:line="360" w:lineRule="auto"/>
        <w:ind w:left="357" w:hanging="357"/>
        <w:rPr>
          <w:rFonts w:ascii="Arial" w:hAnsi="Arial" w:cs="Arial"/>
          <w:color w:val="000000" w:themeColor="text1"/>
          <w:sz w:val="22"/>
          <w:szCs w:val="22"/>
        </w:rPr>
      </w:pPr>
      <w:r w:rsidRPr="2D39C295">
        <w:rPr>
          <w:rFonts w:ascii="Arial" w:hAnsi="Arial" w:cs="Arial"/>
          <w:color w:val="000000" w:themeColor="text1"/>
          <w:sz w:val="22"/>
          <w:szCs w:val="22"/>
        </w:rPr>
        <w:t xml:space="preserve">We ensure that there is always a qualified Paediatric First Aider present in all rooms when children are eating. </w:t>
      </w:r>
    </w:p>
    <w:p w14:paraId="6A58242D" w14:textId="77777777" w:rsidR="00A44F4F" w:rsidRPr="007B62DD" w:rsidRDefault="00A44F4F" w:rsidP="00A44F4F">
      <w:pPr>
        <w:numPr>
          <w:ilvl w:val="0"/>
          <w:numId w:val="2"/>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 xml:space="preserve">We follow the main advice on dietary guidelines and the legal requirements for identifying food allergens when planning menus based on the four food groups: </w:t>
      </w:r>
    </w:p>
    <w:p w14:paraId="5270C92F" w14:textId="77777777" w:rsidR="00A44F4F" w:rsidRPr="007B62DD" w:rsidRDefault="00A44F4F" w:rsidP="00A44F4F">
      <w:pPr>
        <w:numPr>
          <w:ilvl w:val="0"/>
          <w:numId w:val="4"/>
        </w:numPr>
        <w:tabs>
          <w:tab w:val="num" w:pos="1440"/>
        </w:tabs>
        <w:spacing w:before="120" w:after="120" w:line="360" w:lineRule="auto"/>
        <w:ind w:left="714" w:hanging="357"/>
        <w:rPr>
          <w:rFonts w:ascii="Arial" w:hAnsi="Arial" w:cs="Arial"/>
          <w:color w:val="000000" w:themeColor="text1"/>
          <w:sz w:val="22"/>
          <w:szCs w:val="22"/>
        </w:rPr>
      </w:pPr>
      <w:r w:rsidRPr="007B62DD">
        <w:rPr>
          <w:rFonts w:ascii="Arial" w:hAnsi="Arial" w:cs="Arial"/>
          <w:color w:val="000000" w:themeColor="text1"/>
          <w:sz w:val="22"/>
          <w:szCs w:val="22"/>
        </w:rPr>
        <w:t xml:space="preserve">meat, fish, and protein alternatives </w:t>
      </w:r>
    </w:p>
    <w:p w14:paraId="4BE2ED0F" w14:textId="77777777" w:rsidR="00A44F4F" w:rsidRPr="007B62DD" w:rsidRDefault="00A44F4F" w:rsidP="00A44F4F">
      <w:pPr>
        <w:numPr>
          <w:ilvl w:val="0"/>
          <w:numId w:val="4"/>
        </w:numPr>
        <w:tabs>
          <w:tab w:val="num" w:pos="1440"/>
        </w:tabs>
        <w:spacing w:before="120" w:after="120" w:line="360" w:lineRule="auto"/>
        <w:ind w:left="714" w:hanging="357"/>
        <w:rPr>
          <w:rFonts w:ascii="Arial" w:hAnsi="Arial" w:cs="Arial"/>
          <w:color w:val="000000" w:themeColor="text1"/>
          <w:sz w:val="22"/>
          <w:szCs w:val="22"/>
        </w:rPr>
      </w:pPr>
      <w:r w:rsidRPr="007B62DD">
        <w:rPr>
          <w:rFonts w:ascii="Arial" w:hAnsi="Arial" w:cs="Arial"/>
          <w:color w:val="000000" w:themeColor="text1"/>
          <w:sz w:val="22"/>
          <w:szCs w:val="22"/>
        </w:rPr>
        <w:t xml:space="preserve">milk and dairy products </w:t>
      </w:r>
    </w:p>
    <w:p w14:paraId="5BAD423F" w14:textId="77777777" w:rsidR="00A44F4F" w:rsidRPr="007B62DD" w:rsidRDefault="00A44F4F" w:rsidP="00A44F4F">
      <w:pPr>
        <w:numPr>
          <w:ilvl w:val="0"/>
          <w:numId w:val="4"/>
        </w:numPr>
        <w:tabs>
          <w:tab w:val="num" w:pos="1440"/>
        </w:tabs>
        <w:spacing w:before="120" w:after="120" w:line="360" w:lineRule="auto"/>
        <w:ind w:left="714" w:hanging="357"/>
        <w:rPr>
          <w:rFonts w:ascii="Arial" w:hAnsi="Arial" w:cs="Arial"/>
          <w:color w:val="000000" w:themeColor="text1"/>
          <w:sz w:val="22"/>
          <w:szCs w:val="22"/>
        </w:rPr>
      </w:pPr>
      <w:r w:rsidRPr="007B62DD">
        <w:rPr>
          <w:rFonts w:ascii="Arial" w:hAnsi="Arial" w:cs="Arial"/>
          <w:color w:val="000000" w:themeColor="text1"/>
          <w:sz w:val="22"/>
          <w:szCs w:val="22"/>
        </w:rPr>
        <w:t>cereals and grains</w:t>
      </w:r>
    </w:p>
    <w:p w14:paraId="20D35703" w14:textId="77777777" w:rsidR="00A44F4F" w:rsidRPr="007B62DD" w:rsidRDefault="00A44F4F" w:rsidP="00A44F4F">
      <w:pPr>
        <w:numPr>
          <w:ilvl w:val="0"/>
          <w:numId w:val="4"/>
        </w:numPr>
        <w:tabs>
          <w:tab w:val="num" w:pos="1440"/>
        </w:tabs>
        <w:spacing w:before="120" w:after="120" w:line="360" w:lineRule="auto"/>
        <w:ind w:left="714" w:hanging="357"/>
        <w:rPr>
          <w:rFonts w:ascii="Arial" w:hAnsi="Arial" w:cs="Arial"/>
          <w:color w:val="000000" w:themeColor="text1"/>
          <w:sz w:val="22"/>
          <w:szCs w:val="22"/>
        </w:rPr>
      </w:pPr>
      <w:r w:rsidRPr="007B62DD">
        <w:rPr>
          <w:rFonts w:ascii="Arial" w:hAnsi="Arial" w:cs="Arial"/>
          <w:color w:val="000000" w:themeColor="text1"/>
          <w:sz w:val="22"/>
          <w:szCs w:val="22"/>
        </w:rPr>
        <w:lastRenderedPageBreak/>
        <w:t>fresh fruit and vegetables.</w:t>
      </w:r>
    </w:p>
    <w:p w14:paraId="66BDC5AF" w14:textId="77777777"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Following dietary guidelines to promote health also means taking account of guidelines to reduce risk of disease caused by unhealthy eating.</w:t>
      </w:r>
    </w:p>
    <w:p w14:paraId="1955C23D" w14:textId="77777777"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Parents/carers share information about their children’s particular dietary needs and allergies with staff when they enrol their children and on an on-going basis with their key person. This information is shared with all staff who are involved in the care of the child.</w:t>
      </w:r>
    </w:p>
    <w:p w14:paraId="23038696" w14:textId="44C9428E"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Pr>
          <w:rFonts w:ascii="Arial" w:hAnsi="Arial" w:cs="Arial"/>
          <w:color w:val="000000" w:themeColor="text1"/>
          <w:sz w:val="22"/>
          <w:szCs w:val="22"/>
        </w:rPr>
        <w:t>Sunflowers Preschool</w:t>
      </w:r>
      <w:r w:rsidRPr="007B62DD">
        <w:rPr>
          <w:rFonts w:ascii="Arial" w:hAnsi="Arial" w:cs="Arial"/>
          <w:color w:val="000000" w:themeColor="text1"/>
          <w:sz w:val="22"/>
          <w:szCs w:val="22"/>
        </w:rPr>
        <w:t xml:space="preserve"> ensures that all staff are aware of the symptoms and treatments for allergies and anaphylaxis and the differences between allergies and intolerances which may develop at any time.</w:t>
      </w:r>
    </w:p>
    <w:p w14:paraId="44B50419" w14:textId="77777777"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Care is taken to ensure that children with food allergies and intolerances do not have contact with food products that they are allergic to.</w:t>
      </w:r>
    </w:p>
    <w:p w14:paraId="6F6B07E6" w14:textId="77777777"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We notify Ofsted or the childminder agency (CMA if registered with a CMA) of any food poisoning affecting two or more children in our care as soon as possible and at least within 14 days.</w:t>
      </w:r>
    </w:p>
    <w:p w14:paraId="781AF411" w14:textId="77777777" w:rsidR="00A44F4F" w:rsidRPr="007B62DD"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07B62DD">
        <w:rPr>
          <w:rFonts w:ascii="Arial" w:hAnsi="Arial" w:cs="Arial"/>
          <w:color w:val="000000" w:themeColor="text1"/>
          <w:sz w:val="22"/>
          <w:szCs w:val="22"/>
        </w:rPr>
        <w:t>Risk assessments are conducted for each individual child who has a food allergy or specific dietary requirement.</w:t>
      </w:r>
    </w:p>
    <w:p w14:paraId="3D123792" w14:textId="77777777" w:rsidR="00A44F4F" w:rsidRDefault="00A44F4F" w:rsidP="00A44F4F">
      <w:pPr>
        <w:numPr>
          <w:ilvl w:val="0"/>
          <w:numId w:val="3"/>
        </w:numPr>
        <w:spacing w:before="120" w:after="120" w:line="360" w:lineRule="auto"/>
        <w:ind w:left="357" w:hanging="357"/>
        <w:rPr>
          <w:rFonts w:ascii="Arial" w:hAnsi="Arial" w:cs="Arial"/>
          <w:color w:val="000000" w:themeColor="text1"/>
          <w:sz w:val="22"/>
          <w:szCs w:val="22"/>
        </w:rPr>
      </w:pPr>
      <w:r w:rsidRPr="0D4BA17E">
        <w:rPr>
          <w:rFonts w:ascii="Arial" w:hAnsi="Arial" w:cs="Arial"/>
          <w:color w:val="000000" w:themeColor="text1"/>
          <w:sz w:val="22"/>
          <w:szCs w:val="22"/>
        </w:rPr>
        <w:t>If a child chokes at mealtime and intervention is given, we record details of the incident and ensure that parents/carers are informed.</w:t>
      </w:r>
    </w:p>
    <w:p w14:paraId="7EEABE91" w14:textId="77777777" w:rsidR="00A44F4F" w:rsidRPr="007B62DD" w:rsidRDefault="00A44F4F" w:rsidP="00A44F4F">
      <w:pPr>
        <w:spacing w:before="120" w:after="120" w:line="360" w:lineRule="auto"/>
        <w:rPr>
          <w:rFonts w:ascii="Arial" w:hAnsi="Arial" w:cs="Arial"/>
          <w:color w:val="000000" w:themeColor="text1"/>
          <w:sz w:val="22"/>
          <w:szCs w:val="22"/>
        </w:rPr>
      </w:pPr>
    </w:p>
    <w:p w14:paraId="0E9DBB69" w14:textId="77777777" w:rsidR="00A44F4F" w:rsidRPr="007B62DD" w:rsidRDefault="00A44F4F" w:rsidP="00A44F4F">
      <w:pPr>
        <w:tabs>
          <w:tab w:val="left" w:pos="4740"/>
        </w:tabs>
        <w:spacing w:before="120" w:after="120" w:line="360" w:lineRule="auto"/>
        <w:rPr>
          <w:rFonts w:ascii="Arial" w:hAnsi="Arial" w:cs="Arial"/>
          <w:b/>
          <w:color w:val="000000" w:themeColor="text1"/>
        </w:rPr>
      </w:pPr>
      <w:r w:rsidRPr="007B62DD">
        <w:rPr>
          <w:rFonts w:ascii="Arial" w:hAnsi="Arial" w:cs="Arial"/>
          <w:b/>
          <w:color w:val="000000" w:themeColor="text1"/>
        </w:rPr>
        <w:t>Legal references</w:t>
      </w:r>
      <w:r w:rsidRPr="007B62DD">
        <w:rPr>
          <w:rFonts w:ascii="Arial" w:hAnsi="Arial" w:cs="Arial"/>
          <w:b/>
          <w:color w:val="000000" w:themeColor="text1"/>
        </w:rPr>
        <w:tab/>
      </w:r>
    </w:p>
    <w:p w14:paraId="542B7300" w14:textId="77777777" w:rsidR="00A44F4F" w:rsidRPr="007B62DD" w:rsidRDefault="00A44F4F" w:rsidP="00A44F4F">
      <w:pPr>
        <w:spacing w:before="120" w:after="120" w:line="360" w:lineRule="auto"/>
        <w:rPr>
          <w:rFonts w:ascii="Arial" w:hAnsi="Arial" w:cs="Arial"/>
          <w:color w:val="000000" w:themeColor="text1"/>
          <w:sz w:val="22"/>
          <w:szCs w:val="22"/>
        </w:rPr>
      </w:pPr>
      <w:r w:rsidRPr="007B62DD">
        <w:rPr>
          <w:rFonts w:ascii="Arial" w:hAnsi="Arial" w:cs="Arial"/>
          <w:color w:val="000000" w:themeColor="text1"/>
          <w:sz w:val="22"/>
          <w:szCs w:val="22"/>
        </w:rPr>
        <w:t>Regulation (EC) 852/2004 of the European Parliament and of the Council on the hygiene of foodstuffs.</w:t>
      </w:r>
    </w:p>
    <w:p w14:paraId="21E7A842" w14:textId="77777777" w:rsidR="00A44F4F" w:rsidRPr="007B62DD" w:rsidRDefault="00A44F4F" w:rsidP="00A44F4F">
      <w:pPr>
        <w:spacing w:before="120" w:after="120" w:line="360" w:lineRule="auto"/>
        <w:rPr>
          <w:rFonts w:ascii="Arial" w:hAnsi="Arial" w:cs="Arial"/>
          <w:color w:val="000000" w:themeColor="text1"/>
          <w:sz w:val="22"/>
          <w:szCs w:val="22"/>
        </w:rPr>
      </w:pPr>
      <w:r w:rsidRPr="007B62DD">
        <w:rPr>
          <w:rFonts w:ascii="Arial" w:hAnsi="Arial" w:cs="Arial"/>
          <w:color w:val="000000" w:themeColor="text1"/>
          <w:sz w:val="22"/>
          <w:szCs w:val="22"/>
        </w:rPr>
        <w:t>Food Information Regulations 2014</w:t>
      </w:r>
    </w:p>
    <w:p w14:paraId="4F2EBCF9" w14:textId="77777777" w:rsidR="00A44F4F" w:rsidRDefault="00A44F4F" w:rsidP="00A44F4F">
      <w:pPr>
        <w:spacing w:before="120" w:after="120" w:line="360" w:lineRule="auto"/>
        <w:rPr>
          <w:rFonts w:ascii="Arial" w:hAnsi="Arial" w:cs="Arial"/>
          <w:color w:val="000000" w:themeColor="text1"/>
          <w:sz w:val="22"/>
          <w:szCs w:val="22"/>
        </w:rPr>
      </w:pPr>
      <w:r w:rsidRPr="007B62DD">
        <w:rPr>
          <w:rFonts w:ascii="Arial" w:hAnsi="Arial" w:cs="Arial"/>
          <w:color w:val="000000" w:themeColor="text1"/>
          <w:sz w:val="22"/>
          <w:szCs w:val="22"/>
        </w:rPr>
        <w:t>The Childcare Act 2006</w:t>
      </w:r>
    </w:p>
    <w:p w14:paraId="4F1483DC" w14:textId="77777777" w:rsidR="00A44F4F" w:rsidRPr="007B62DD" w:rsidRDefault="00A44F4F" w:rsidP="00A44F4F">
      <w:pPr>
        <w:spacing w:before="120" w:after="120" w:line="360" w:lineRule="auto"/>
        <w:rPr>
          <w:rFonts w:ascii="Arial" w:hAnsi="Arial" w:cs="Arial"/>
          <w:color w:val="000000" w:themeColor="text1"/>
          <w:sz w:val="22"/>
          <w:szCs w:val="22"/>
        </w:rPr>
      </w:pPr>
    </w:p>
    <w:p w14:paraId="61135BDF" w14:textId="77777777" w:rsidR="00A44F4F" w:rsidRPr="007B62DD" w:rsidRDefault="00A44F4F" w:rsidP="00A44F4F">
      <w:pPr>
        <w:spacing w:before="120" w:after="120" w:line="360" w:lineRule="auto"/>
        <w:rPr>
          <w:rFonts w:ascii="Arial" w:hAnsi="Arial" w:cs="Arial"/>
          <w:b/>
          <w:bCs/>
          <w:color w:val="000000" w:themeColor="text1"/>
          <w:sz w:val="22"/>
          <w:szCs w:val="22"/>
        </w:rPr>
      </w:pPr>
      <w:r w:rsidRPr="007B62DD">
        <w:rPr>
          <w:rFonts w:ascii="Arial" w:hAnsi="Arial" w:cs="Arial"/>
          <w:b/>
          <w:bCs/>
          <w:color w:val="000000" w:themeColor="text1"/>
          <w:sz w:val="22"/>
          <w:szCs w:val="22"/>
        </w:rPr>
        <w:t>Further guidance</w:t>
      </w:r>
    </w:p>
    <w:p w14:paraId="3EB868C2" w14:textId="77777777" w:rsidR="00A44F4F" w:rsidRPr="007B62DD" w:rsidRDefault="00A44F4F" w:rsidP="00A44F4F">
      <w:pPr>
        <w:spacing w:before="120" w:after="120" w:line="360" w:lineRule="auto"/>
        <w:rPr>
          <w:rFonts w:ascii="Arial" w:hAnsi="Arial" w:cs="Arial"/>
          <w:color w:val="000000" w:themeColor="text1"/>
          <w:sz w:val="28"/>
          <w:szCs w:val="28"/>
        </w:rPr>
      </w:pPr>
      <w:hyperlink r:id="rId6">
        <w:r w:rsidRPr="007B62DD">
          <w:rPr>
            <w:rStyle w:val="Hyperlink"/>
            <w:rFonts w:ascii="Arial" w:hAnsi="Arial" w:cs="Arial"/>
            <w:i/>
            <w:iCs/>
            <w:color w:val="000000" w:themeColor="text1"/>
            <w:sz w:val="22"/>
            <w:szCs w:val="22"/>
          </w:rPr>
          <w:t>Safer Food Better Business</w:t>
        </w:r>
        <w:r w:rsidRPr="007B62DD">
          <w:rPr>
            <w:rStyle w:val="Hyperlink"/>
            <w:rFonts w:ascii="Arial" w:hAnsi="Arial" w:cs="Arial"/>
            <w:color w:val="000000" w:themeColor="text1"/>
            <w:sz w:val="22"/>
            <w:szCs w:val="22"/>
          </w:rPr>
          <w:t xml:space="preserve"> for Caterers</w:t>
        </w:r>
      </w:hyperlink>
      <w:r w:rsidRPr="007B62DD">
        <w:rPr>
          <w:rFonts w:ascii="Arial" w:hAnsi="Arial" w:cs="Arial"/>
          <w:color w:val="000000" w:themeColor="text1"/>
          <w:sz w:val="22"/>
          <w:szCs w:val="22"/>
        </w:rPr>
        <w:t xml:space="preserve"> (Food Standards Agency) </w:t>
      </w:r>
    </w:p>
    <w:p w14:paraId="43979FC9" w14:textId="77777777" w:rsidR="00A44F4F" w:rsidRPr="007B62DD" w:rsidRDefault="00A44F4F" w:rsidP="00A44F4F">
      <w:pPr>
        <w:spacing w:before="120" w:after="120" w:line="360" w:lineRule="auto"/>
        <w:rPr>
          <w:rStyle w:val="Hyperlink"/>
          <w:rFonts w:ascii="Arial" w:eastAsia="Arial" w:hAnsi="Arial" w:cs="Arial"/>
          <w:color w:val="000000" w:themeColor="text1"/>
          <w:sz w:val="22"/>
          <w:szCs w:val="22"/>
        </w:rPr>
      </w:pPr>
      <w:r w:rsidRPr="007B62DD">
        <w:rPr>
          <w:rFonts w:ascii="Arial" w:eastAsia="Arial" w:hAnsi="Arial" w:cs="Arial"/>
          <w:color w:val="000000" w:themeColor="text1"/>
          <w:sz w:val="22"/>
          <w:szCs w:val="22"/>
        </w:rPr>
        <w:fldChar w:fldCharType="begin"/>
      </w:r>
      <w:r w:rsidRPr="007B62DD">
        <w:rPr>
          <w:rFonts w:ascii="Arial" w:eastAsia="Arial" w:hAnsi="Arial" w:cs="Arial"/>
          <w:color w:val="000000" w:themeColor="text1"/>
          <w:sz w:val="22"/>
          <w:szCs w:val="22"/>
        </w:rPr>
        <w:instrText>HYPERLINK "https://www.bsaci.org/resources/resources/paediatric-allergy-action-plans/"</w:instrText>
      </w:r>
      <w:r w:rsidRPr="007B62DD">
        <w:rPr>
          <w:rFonts w:ascii="Arial" w:eastAsia="Arial" w:hAnsi="Arial" w:cs="Arial"/>
          <w:color w:val="000000" w:themeColor="text1"/>
          <w:sz w:val="22"/>
          <w:szCs w:val="22"/>
        </w:rPr>
      </w:r>
      <w:r w:rsidRPr="007B62DD">
        <w:rPr>
          <w:rFonts w:ascii="Arial" w:eastAsia="Arial" w:hAnsi="Arial" w:cs="Arial"/>
          <w:color w:val="000000" w:themeColor="text1"/>
          <w:sz w:val="22"/>
          <w:szCs w:val="22"/>
        </w:rPr>
        <w:fldChar w:fldCharType="separate"/>
      </w:r>
      <w:r w:rsidRPr="007B62DD">
        <w:rPr>
          <w:rStyle w:val="Hyperlink"/>
          <w:rFonts w:ascii="Arial" w:eastAsia="Arial" w:hAnsi="Arial" w:cs="Arial"/>
          <w:color w:val="000000" w:themeColor="text1"/>
          <w:sz w:val="22"/>
          <w:szCs w:val="22"/>
        </w:rPr>
        <w:t>Paediatric Allergy Action Plans - BSACI</w:t>
      </w:r>
    </w:p>
    <w:p w14:paraId="2AD9BC89" w14:textId="77777777" w:rsidR="00A44F4F" w:rsidRPr="007B62DD" w:rsidRDefault="00A44F4F" w:rsidP="00A44F4F">
      <w:pPr>
        <w:spacing w:before="120" w:after="120" w:line="360" w:lineRule="auto"/>
        <w:rPr>
          <w:rStyle w:val="Hyperlink"/>
          <w:rFonts w:ascii="Arial" w:eastAsia="Arial" w:hAnsi="Arial" w:cs="Arial"/>
          <w:color w:val="000000" w:themeColor="text1"/>
          <w:sz w:val="22"/>
          <w:szCs w:val="22"/>
        </w:rPr>
      </w:pPr>
      <w:r w:rsidRPr="007B62DD">
        <w:rPr>
          <w:rFonts w:ascii="Arial" w:eastAsia="Arial" w:hAnsi="Arial" w:cs="Arial"/>
          <w:color w:val="000000" w:themeColor="text1"/>
          <w:sz w:val="22"/>
          <w:szCs w:val="22"/>
        </w:rPr>
        <w:fldChar w:fldCharType="end"/>
      </w:r>
      <w:r w:rsidRPr="007B62DD">
        <w:rPr>
          <w:rFonts w:ascii="Arial" w:eastAsia="Arial" w:hAnsi="Arial" w:cs="Arial"/>
          <w:color w:val="000000" w:themeColor="text1"/>
          <w:sz w:val="22"/>
          <w:szCs w:val="22"/>
        </w:rPr>
        <w:fldChar w:fldCharType="begin"/>
      </w:r>
      <w:r w:rsidRPr="007B62DD">
        <w:rPr>
          <w:rFonts w:ascii="Arial" w:eastAsia="Arial" w:hAnsi="Arial" w:cs="Arial"/>
          <w:color w:val="000000" w:themeColor="text1"/>
          <w:sz w:val="22"/>
          <w:szCs w:val="22"/>
        </w:rPr>
        <w:instrText>HYPERLINK "https://www.nhs.uk/conditions/food-allergy/"</w:instrText>
      </w:r>
      <w:r w:rsidRPr="007B62DD">
        <w:rPr>
          <w:rFonts w:ascii="Arial" w:eastAsia="Arial" w:hAnsi="Arial" w:cs="Arial"/>
          <w:color w:val="000000" w:themeColor="text1"/>
          <w:sz w:val="22"/>
          <w:szCs w:val="22"/>
        </w:rPr>
      </w:r>
      <w:r w:rsidRPr="007B62DD">
        <w:rPr>
          <w:rFonts w:ascii="Arial" w:eastAsia="Arial" w:hAnsi="Arial" w:cs="Arial"/>
          <w:color w:val="000000" w:themeColor="text1"/>
          <w:sz w:val="22"/>
          <w:szCs w:val="22"/>
        </w:rPr>
        <w:fldChar w:fldCharType="separate"/>
      </w:r>
      <w:r w:rsidRPr="007B62DD">
        <w:rPr>
          <w:rStyle w:val="Hyperlink"/>
          <w:rFonts w:ascii="Arial" w:eastAsia="Arial" w:hAnsi="Arial" w:cs="Arial"/>
          <w:color w:val="000000" w:themeColor="text1"/>
          <w:sz w:val="22"/>
          <w:szCs w:val="22"/>
        </w:rPr>
        <w:t>Food allergy - NHS</w:t>
      </w:r>
    </w:p>
    <w:p w14:paraId="7E22976D" w14:textId="77777777" w:rsidR="00A44F4F" w:rsidRPr="007B62DD" w:rsidRDefault="00A44F4F" w:rsidP="00A44F4F">
      <w:pPr>
        <w:spacing w:before="120" w:after="120" w:line="360" w:lineRule="auto"/>
        <w:rPr>
          <w:rFonts w:ascii="Arial" w:eastAsia="Arial" w:hAnsi="Arial" w:cs="Arial"/>
          <w:color w:val="000000" w:themeColor="text1"/>
          <w:sz w:val="22"/>
          <w:szCs w:val="22"/>
        </w:rPr>
      </w:pPr>
      <w:r w:rsidRPr="007B62DD">
        <w:rPr>
          <w:rFonts w:ascii="Arial" w:eastAsia="Arial" w:hAnsi="Arial" w:cs="Arial"/>
          <w:color w:val="000000" w:themeColor="text1"/>
          <w:sz w:val="22"/>
          <w:szCs w:val="22"/>
        </w:rPr>
        <w:fldChar w:fldCharType="end"/>
      </w:r>
      <w:hyperlink r:id="rId7">
        <w:r w:rsidRPr="007B62DD">
          <w:rPr>
            <w:rStyle w:val="Hyperlink"/>
            <w:rFonts w:ascii="Arial" w:eastAsia="Arial" w:hAnsi="Arial" w:cs="Arial"/>
            <w:color w:val="000000" w:themeColor="text1"/>
            <w:sz w:val="22"/>
            <w:szCs w:val="22"/>
          </w:rPr>
          <w:t>Anaphylaxis - NHS</w:t>
        </w:r>
      </w:hyperlink>
    </w:p>
    <w:p w14:paraId="101831A1" w14:textId="77777777" w:rsidR="00A44F4F" w:rsidRPr="007B62DD" w:rsidRDefault="00A44F4F" w:rsidP="00A44F4F">
      <w:pPr>
        <w:spacing w:before="120" w:after="120" w:line="360" w:lineRule="auto"/>
        <w:rPr>
          <w:rFonts w:ascii="Arial" w:eastAsia="Arial" w:hAnsi="Arial" w:cs="Arial"/>
          <w:color w:val="000000" w:themeColor="text1"/>
          <w:sz w:val="22"/>
          <w:szCs w:val="22"/>
        </w:rPr>
      </w:pPr>
      <w:hyperlink r:id="rId8">
        <w:r w:rsidRPr="007B62DD">
          <w:rPr>
            <w:rStyle w:val="Hyperlink"/>
            <w:rFonts w:ascii="Arial" w:eastAsia="Arial" w:hAnsi="Arial" w:cs="Arial"/>
            <w:color w:val="000000" w:themeColor="text1"/>
            <w:sz w:val="22"/>
            <w:szCs w:val="22"/>
          </w:rPr>
          <w:t>Weaning - Start for Life - NHS</w:t>
        </w:r>
      </w:hyperlink>
    </w:p>
    <w:p w14:paraId="0B3498E0" w14:textId="77777777" w:rsidR="00A44F4F" w:rsidRPr="007B62DD" w:rsidRDefault="00A44F4F" w:rsidP="00A44F4F">
      <w:pPr>
        <w:spacing w:before="120" w:after="120" w:line="360" w:lineRule="auto"/>
        <w:rPr>
          <w:rFonts w:ascii="Arial" w:eastAsia="Arial" w:hAnsi="Arial" w:cs="Arial"/>
          <w:color w:val="000000" w:themeColor="text1"/>
          <w:sz w:val="22"/>
          <w:szCs w:val="22"/>
        </w:rPr>
      </w:pPr>
      <w:hyperlink r:id="rId9">
        <w:r w:rsidRPr="007B62DD">
          <w:rPr>
            <w:rStyle w:val="Hyperlink"/>
            <w:rFonts w:ascii="Arial" w:eastAsia="Arial" w:hAnsi="Arial" w:cs="Arial"/>
            <w:color w:val="000000" w:themeColor="text1"/>
            <w:sz w:val="22"/>
            <w:szCs w:val="22"/>
          </w:rPr>
          <w:t>Help for early years providers: Food safety</w:t>
        </w:r>
      </w:hyperlink>
    </w:p>
    <w:p w14:paraId="7BD9835E" w14:textId="77777777" w:rsidR="00A44F4F" w:rsidRPr="007B62DD" w:rsidRDefault="00A44F4F" w:rsidP="00A44F4F">
      <w:pPr>
        <w:spacing w:before="120" w:after="120" w:line="360" w:lineRule="auto"/>
        <w:rPr>
          <w:rFonts w:ascii="Arial" w:eastAsia="Arial" w:hAnsi="Arial" w:cs="Arial"/>
          <w:color w:val="000000" w:themeColor="text1"/>
          <w:sz w:val="22"/>
          <w:szCs w:val="22"/>
        </w:rPr>
      </w:pPr>
      <w:hyperlink r:id="rId10" w:history="1">
        <w:hyperlink r:id="rId11">
          <w:r w:rsidRPr="0D4BA17E">
            <w:rPr>
              <w:rStyle w:val="Hyperlink"/>
              <w:rFonts w:ascii="Arial" w:eastAsia="Arial" w:hAnsi="Arial" w:cs="Arial"/>
              <w:color w:val="FF0000"/>
              <w:sz w:val="22"/>
              <w:szCs w:val="22"/>
            </w:rPr>
            <w:t xml:space="preserve">Early Years Foundation Stage Nutrition Guidance </w:t>
          </w:r>
        </w:hyperlink>
      </w:hyperlink>
    </w:p>
    <w:p w14:paraId="62919D9D" w14:textId="77777777" w:rsidR="00A44F4F" w:rsidRPr="007B62DD" w:rsidRDefault="00A44F4F" w:rsidP="00A44F4F">
      <w:pPr>
        <w:spacing w:before="120" w:after="120" w:line="360" w:lineRule="auto"/>
        <w:rPr>
          <w:color w:val="000000" w:themeColor="text1"/>
        </w:rPr>
      </w:pPr>
      <w:hyperlink r:id="rId12">
        <w:r w:rsidRPr="007B62DD">
          <w:rPr>
            <w:rStyle w:val="Hyperlink"/>
            <w:rFonts w:ascii="Arial" w:eastAsia="Arial" w:hAnsi="Arial" w:cs="Arial"/>
            <w:color w:val="000000" w:themeColor="text1"/>
            <w:sz w:val="22"/>
            <w:szCs w:val="22"/>
          </w:rPr>
          <w:t>Allergy action plan</w:t>
        </w:r>
      </w:hyperlink>
    </w:p>
    <w:p w14:paraId="5CF4BEE9" w14:textId="77777777" w:rsidR="007D4996" w:rsidRDefault="007D4996"/>
    <w:sectPr w:rsidR="007D4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num w:numId="1" w16cid:durableId="348068184">
    <w:abstractNumId w:val="1"/>
  </w:num>
  <w:num w:numId="2" w16cid:durableId="1691222243">
    <w:abstractNumId w:val="3"/>
  </w:num>
  <w:num w:numId="3" w16cid:durableId="366104808">
    <w:abstractNumId w:val="2"/>
  </w:num>
  <w:num w:numId="4" w16cid:durableId="489367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F4F"/>
    <w:rsid w:val="00230253"/>
    <w:rsid w:val="007D4996"/>
    <w:rsid w:val="00A44F4F"/>
    <w:rsid w:val="00E9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F790"/>
  <w15:chartTrackingRefBased/>
  <w15:docId w15:val="{E036025B-8CA6-4C43-B28A-2CCF6BED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F4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A44F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4F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4F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4F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4F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A44F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F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F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F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4F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4F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4F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4F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4F4F"/>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A44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F4F"/>
    <w:rPr>
      <w:rFonts w:eastAsiaTheme="majorEastAsia" w:cstheme="majorBidi"/>
      <w:color w:val="272727" w:themeColor="text1" w:themeTint="D8"/>
    </w:rPr>
  </w:style>
  <w:style w:type="paragraph" w:styleId="Title">
    <w:name w:val="Title"/>
    <w:basedOn w:val="Normal"/>
    <w:next w:val="Normal"/>
    <w:link w:val="TitleChar"/>
    <w:uiPriority w:val="10"/>
    <w:qFormat/>
    <w:rsid w:val="00A44F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F4F"/>
    <w:pPr>
      <w:spacing w:before="160"/>
      <w:jc w:val="center"/>
    </w:pPr>
    <w:rPr>
      <w:i/>
      <w:iCs/>
      <w:color w:val="404040" w:themeColor="text1" w:themeTint="BF"/>
    </w:rPr>
  </w:style>
  <w:style w:type="character" w:customStyle="1" w:styleId="QuoteChar">
    <w:name w:val="Quote Char"/>
    <w:basedOn w:val="DefaultParagraphFont"/>
    <w:link w:val="Quote"/>
    <w:uiPriority w:val="29"/>
    <w:rsid w:val="00A44F4F"/>
    <w:rPr>
      <w:i/>
      <w:iCs/>
      <w:color w:val="404040" w:themeColor="text1" w:themeTint="BF"/>
    </w:rPr>
  </w:style>
  <w:style w:type="paragraph" w:styleId="ListParagraph">
    <w:name w:val="List Paragraph"/>
    <w:basedOn w:val="Normal"/>
    <w:uiPriority w:val="34"/>
    <w:qFormat/>
    <w:rsid w:val="00A44F4F"/>
    <w:pPr>
      <w:ind w:left="720"/>
      <w:contextualSpacing/>
    </w:pPr>
  </w:style>
  <w:style w:type="character" w:styleId="IntenseEmphasis">
    <w:name w:val="Intense Emphasis"/>
    <w:basedOn w:val="DefaultParagraphFont"/>
    <w:uiPriority w:val="21"/>
    <w:qFormat/>
    <w:rsid w:val="00A44F4F"/>
    <w:rPr>
      <w:i/>
      <w:iCs/>
      <w:color w:val="2F5496" w:themeColor="accent1" w:themeShade="BF"/>
    </w:rPr>
  </w:style>
  <w:style w:type="paragraph" w:styleId="IntenseQuote">
    <w:name w:val="Intense Quote"/>
    <w:basedOn w:val="Normal"/>
    <w:next w:val="Normal"/>
    <w:link w:val="IntenseQuoteChar"/>
    <w:uiPriority w:val="30"/>
    <w:qFormat/>
    <w:rsid w:val="00A44F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4F4F"/>
    <w:rPr>
      <w:i/>
      <w:iCs/>
      <w:color w:val="2F5496" w:themeColor="accent1" w:themeShade="BF"/>
    </w:rPr>
  </w:style>
  <w:style w:type="character" w:styleId="IntenseReference">
    <w:name w:val="Intense Reference"/>
    <w:basedOn w:val="DefaultParagraphFont"/>
    <w:uiPriority w:val="32"/>
    <w:qFormat/>
    <w:rsid w:val="00A44F4F"/>
    <w:rPr>
      <w:b/>
      <w:bCs/>
      <w:smallCaps/>
      <w:color w:val="2F5496" w:themeColor="accent1" w:themeShade="BF"/>
      <w:spacing w:val="5"/>
    </w:rPr>
  </w:style>
  <w:style w:type="character" w:styleId="Hyperlink">
    <w:name w:val="Hyperlink"/>
    <w:basedOn w:val="DefaultParagraphFont"/>
    <w:semiHidden/>
    <w:rsid w:val="00A44F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start-for-life/baby/wean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uk/conditions/anaphylaxis/" TargetMode="External"/><Relationship Id="rId12" Type="http://schemas.openxmlformats.org/officeDocument/2006/relationships/hyperlink" Target="https://www.bsaci.org/wp-content/uploads/2020/02/BSACIAllergyActionPlan2018NoAAI298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od.gov.uk/business-guidance/safer-food-better-business-for-caterers" TargetMode="External"/><Relationship Id="rId11"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5" Type="http://schemas.openxmlformats.org/officeDocument/2006/relationships/image" Target="media/image1.png"/><Relationship Id="rId10" Type="http://schemas.openxmlformats.org/officeDocument/2006/relationships/hyperlink" Target="https://assets.publishing.service.gov.uk/media/6839b752210698b3364e86fc/Early_years_foundation_stage_nutrition_guidance.pdf" TargetMode="External"/><Relationship Id="rId4" Type="http://schemas.openxmlformats.org/officeDocument/2006/relationships/webSettings" Target="webSettings.xml"/><Relationship Id="rId9" Type="http://schemas.openxmlformats.org/officeDocument/2006/relationships/hyperlink" Target="https://help-for-early-years-providers.education.gov.uk/health-and-wellbeing/food-safe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1</cp:revision>
  <dcterms:created xsi:type="dcterms:W3CDTF">2026-08-26T10:11:00Z</dcterms:created>
  <dcterms:modified xsi:type="dcterms:W3CDTF">2026-08-26T10:15:00Z</dcterms:modified>
</cp:coreProperties>
</file>